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AA31" w14:textId="77777777" w:rsidR="001143B4" w:rsidRDefault="0065659F" w:rsidP="00AC73ED">
      <w:pPr>
        <w:spacing w:before="360"/>
        <w:rPr>
          <w:b/>
          <w:sz w:val="40"/>
          <w:szCs w:val="40"/>
        </w:rPr>
      </w:pPr>
      <w:r>
        <w:rPr>
          <w:b/>
          <w:sz w:val="40"/>
          <w:szCs w:val="40"/>
        </w:rPr>
        <w:t>Svarsfil till remiss</w:t>
      </w:r>
      <w:r w:rsidR="00D02EB8">
        <w:rPr>
          <w:b/>
          <w:sz w:val="40"/>
          <w:szCs w:val="40"/>
        </w:rPr>
        <w:t>: F</w:t>
      </w:r>
      <w:r w:rsidR="00DE66B2">
        <w:rPr>
          <w:b/>
          <w:sz w:val="40"/>
          <w:szCs w:val="40"/>
        </w:rPr>
        <w:t>örslag till Boverkets föreskrifter och allmänna råd om energimätning i byggnader</w:t>
      </w:r>
      <w:r>
        <w:rPr>
          <w:b/>
          <w:sz w:val="40"/>
          <w:szCs w:val="40"/>
        </w:rPr>
        <w:t xml:space="preserve">, dnr: </w:t>
      </w:r>
      <w:r w:rsidR="00DE66B2" w:rsidRPr="00DE66B2">
        <w:rPr>
          <w:b/>
          <w:sz w:val="40"/>
          <w:szCs w:val="40"/>
        </w:rPr>
        <w:t>243/2020</w:t>
      </w:r>
    </w:p>
    <w:p w14:paraId="4BE5F7D6" w14:textId="77777777" w:rsidR="001143B4" w:rsidRDefault="00205D0B"/>
    <w:p w14:paraId="5061A502" w14:textId="77777777" w:rsidR="001143B4" w:rsidRDefault="0065659F">
      <w:pPr>
        <w:rPr>
          <w:sz w:val="28"/>
          <w:szCs w:val="28"/>
        </w:rPr>
      </w:pPr>
      <w:r w:rsidRPr="00621A2C">
        <w:rPr>
          <w:sz w:val="28"/>
          <w:szCs w:val="28"/>
        </w:rPr>
        <w:t xml:space="preserve">Svar mailas till </w:t>
      </w:r>
      <w:hyperlink r:id="rId7" w:history="1">
        <w:r w:rsidRPr="009613E0">
          <w:rPr>
            <w:rStyle w:val="Hyperlnk"/>
            <w:sz w:val="28"/>
            <w:szCs w:val="28"/>
          </w:rPr>
          <w:t>remiss@boverket.se</w:t>
        </w:r>
      </w:hyperlink>
      <w:r>
        <w:rPr>
          <w:sz w:val="28"/>
          <w:szCs w:val="28"/>
        </w:rPr>
        <w:t xml:space="preserve"> </w:t>
      </w:r>
    </w:p>
    <w:p w14:paraId="4D041684" w14:textId="77777777" w:rsidR="001143B4" w:rsidRDefault="00205D0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7049"/>
      </w:tblGrid>
      <w:tr w:rsidR="009520AE" w14:paraId="14019699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0E0A929" w14:textId="77777777" w:rsidR="00621A2C" w:rsidRPr="0085524C" w:rsidRDefault="0065659F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35C65041" w14:textId="24396E84" w:rsidR="00621A2C" w:rsidRPr="0085524C" w:rsidRDefault="00781CA4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2020-04-</w:t>
            </w:r>
            <w:r w:rsidR="000C0AD1">
              <w:rPr>
                <w:sz w:val="28"/>
                <w:szCs w:val="28"/>
              </w:rPr>
              <w:t>0</w:t>
            </w:r>
            <w:r w:rsidR="00EE2A84">
              <w:rPr>
                <w:sz w:val="28"/>
                <w:szCs w:val="28"/>
              </w:rPr>
              <w:t>8</w:t>
            </w:r>
          </w:p>
        </w:tc>
      </w:tr>
      <w:tr w:rsidR="009520AE" w14:paraId="1391A33F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BFB1BEA" w14:textId="77777777" w:rsidR="00621A2C" w:rsidRPr="0085524C" w:rsidRDefault="0065659F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Remisslämnare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0B6A998E" w14:textId="42C000AB" w:rsidR="00621A2C" w:rsidRPr="0085524C" w:rsidRDefault="0076761E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Lotta Bångens</w:t>
            </w:r>
          </w:p>
        </w:tc>
      </w:tr>
      <w:tr w:rsidR="009520AE" w14:paraId="3A11BFD2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5306660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Organisation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3CD45D72" w14:textId="0A7BB16A" w:rsidR="00621A2C" w:rsidRPr="0085524C" w:rsidRDefault="0076761E" w:rsidP="00621A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EEF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EnergiEffektiviseringsFöretagen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520AE" w14:paraId="0727415A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5F8BA39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Kontaktperson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420CFBDE" w14:textId="7A859724" w:rsidR="00621A2C" w:rsidRPr="0085524C" w:rsidRDefault="0076761E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Lotta Bångens</w:t>
            </w:r>
          </w:p>
        </w:tc>
      </w:tr>
      <w:tr w:rsidR="009520AE" w14:paraId="5237A631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802DB09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E-postadress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7099AABA" w14:textId="4907F551" w:rsidR="00621A2C" w:rsidRPr="0085524C" w:rsidRDefault="0076761E" w:rsidP="00621A2C">
            <w:pPr>
              <w:rPr>
                <w:sz w:val="28"/>
                <w:szCs w:val="28"/>
              </w:rPr>
            </w:pPr>
            <w:hyperlink r:id="rId8" w:history="1">
              <w:r w:rsidRPr="00635AB6">
                <w:rPr>
                  <w:rStyle w:val="Hyperlnk"/>
                  <w:sz w:val="28"/>
                  <w:szCs w:val="28"/>
                </w:rPr>
                <w:t>Lotta.bangens@eef.se</w:t>
              </w:r>
            </w:hyperlink>
          </w:p>
        </w:tc>
      </w:tr>
      <w:tr w:rsidR="009520AE" w14:paraId="24FB6437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BEF931F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Adress</w:t>
            </w:r>
          </w:p>
        </w:tc>
        <w:tc>
          <w:tcPr>
            <w:tcW w:w="7049" w:type="dxa"/>
            <w:shd w:val="clear" w:color="auto" w:fill="auto"/>
            <w:vAlign w:val="bottom"/>
          </w:tcPr>
          <w:p w14:paraId="70EBE69F" w14:textId="45180C74" w:rsidR="00621A2C" w:rsidRPr="0085524C" w:rsidRDefault="0076761E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Ringvägen </w:t>
            </w:r>
            <w:r w:rsidR="00AC62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="00AC62AE">
              <w:rPr>
                <w:sz w:val="28"/>
                <w:szCs w:val="28"/>
              </w:rPr>
              <w:t>, Stock</w:t>
            </w:r>
            <w:r>
              <w:rPr>
                <w:sz w:val="28"/>
                <w:szCs w:val="28"/>
              </w:rPr>
              <w:t>holm</w:t>
            </w:r>
          </w:p>
        </w:tc>
      </w:tr>
    </w:tbl>
    <w:p w14:paraId="5B404E99" w14:textId="77777777" w:rsidR="002618C3" w:rsidRDefault="00205D0B"/>
    <w:p w14:paraId="4D141B66" w14:textId="77777777" w:rsidR="002618C3" w:rsidRDefault="00205D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</w:tblGrid>
      <w:tr w:rsidR="009520AE" w14:paraId="762010E7" w14:textId="77777777" w:rsidTr="0085524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BED67" w14:textId="77777777" w:rsidR="002618C3" w:rsidRPr="0085524C" w:rsidRDefault="00205D0B" w:rsidP="00621A2C">
            <w:pPr>
              <w:rPr>
                <w:b/>
                <w:sz w:val="28"/>
                <w:szCs w:val="28"/>
              </w:rPr>
            </w:pPr>
          </w:p>
          <w:p w14:paraId="227F37A0" w14:textId="77777777" w:rsidR="00621A2C" w:rsidRPr="0085524C" w:rsidRDefault="0065659F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Remissvar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85B93D" w14:textId="77777777" w:rsidR="00621A2C" w:rsidRPr="0085524C" w:rsidRDefault="0065659F" w:rsidP="00621A2C">
            <w:pPr>
              <w:rPr>
                <w:sz w:val="18"/>
                <w:szCs w:val="18"/>
              </w:rPr>
            </w:pPr>
            <w:r w:rsidRPr="0085524C">
              <w:rPr>
                <w:sz w:val="18"/>
                <w:szCs w:val="18"/>
              </w:rPr>
              <w:t>(sätt kryss i vald ruta)</w:t>
            </w:r>
          </w:p>
        </w:tc>
      </w:tr>
      <w:tr w:rsidR="009520AE" w14:paraId="79068E35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357384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Avstår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D63B2" w14:textId="77777777" w:rsidR="00621A2C" w:rsidRPr="0085524C" w:rsidRDefault="00205D0B" w:rsidP="00621A2C">
            <w:pPr>
              <w:rPr>
                <w:sz w:val="28"/>
                <w:szCs w:val="28"/>
              </w:rPr>
            </w:pPr>
          </w:p>
        </w:tc>
      </w:tr>
      <w:tr w:rsidR="009520AE" w14:paraId="222A3436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8A92B3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Tillstyrker utan kommentar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A91DA" w14:textId="77777777" w:rsidR="00621A2C" w:rsidRPr="0085524C" w:rsidRDefault="00205D0B" w:rsidP="00621A2C">
            <w:pPr>
              <w:rPr>
                <w:sz w:val="28"/>
                <w:szCs w:val="28"/>
              </w:rPr>
            </w:pPr>
          </w:p>
        </w:tc>
      </w:tr>
      <w:tr w:rsidR="009520AE" w14:paraId="012753A9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21B131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Tillstyrker med kommentar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779C5" w14:textId="77777777" w:rsidR="00621A2C" w:rsidRPr="0085524C" w:rsidRDefault="004F4D19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520AE" w14:paraId="66A00B11" w14:textId="77777777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CC12CBF" w14:textId="77777777" w:rsidR="00621A2C" w:rsidRPr="0085524C" w:rsidRDefault="0065659F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Avstyrker med motivering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E779F" w14:textId="77777777" w:rsidR="00621A2C" w:rsidRPr="0085524C" w:rsidRDefault="00205D0B" w:rsidP="00621A2C">
            <w:pPr>
              <w:rPr>
                <w:sz w:val="28"/>
                <w:szCs w:val="28"/>
              </w:rPr>
            </w:pPr>
          </w:p>
        </w:tc>
      </w:tr>
    </w:tbl>
    <w:p w14:paraId="24D57234" w14:textId="77777777" w:rsidR="00621A2C" w:rsidRDefault="00205D0B">
      <w:pPr>
        <w:rPr>
          <w:sz w:val="28"/>
          <w:szCs w:val="28"/>
        </w:rPr>
      </w:pPr>
    </w:p>
    <w:p w14:paraId="2B8B055D" w14:textId="77777777" w:rsidR="001143B4" w:rsidRDefault="006565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599DC6" w14:textId="77777777" w:rsidR="00AC73ED" w:rsidRDefault="00205D0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4"/>
        <w:gridCol w:w="2830"/>
        <w:gridCol w:w="4394"/>
        <w:gridCol w:w="4395"/>
      </w:tblGrid>
      <w:tr w:rsidR="00E05CE4" w:rsidRPr="00AE35E4" w14:paraId="0A37528B" w14:textId="77777777" w:rsidTr="00CF7FC5">
        <w:tc>
          <w:tcPr>
            <w:tcW w:w="1980" w:type="dxa"/>
          </w:tcPr>
          <w:p w14:paraId="7C06785D" w14:textId="77777777" w:rsidR="00E05CE4" w:rsidRDefault="00E05CE4" w:rsidP="00E05C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Föreskrift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35E4">
              <w:rPr>
                <w:b/>
                <w:sz w:val="28"/>
                <w:szCs w:val="28"/>
              </w:rPr>
              <w:t>§</w:t>
            </w:r>
          </w:p>
          <w:p w14:paraId="1F4473E9" w14:textId="77777777" w:rsidR="00E05CE4" w:rsidRPr="00AE35E4" w:rsidRDefault="00E05CE4" w:rsidP="00E05CE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Allm</w:t>
            </w:r>
            <w:proofErr w:type="spellEnd"/>
            <w:r>
              <w:rPr>
                <w:b/>
                <w:sz w:val="28"/>
                <w:szCs w:val="28"/>
              </w:rPr>
              <w:t xml:space="preserve"> råd</w:t>
            </w:r>
          </w:p>
        </w:tc>
        <w:tc>
          <w:tcPr>
            <w:tcW w:w="2830" w:type="dxa"/>
          </w:tcPr>
          <w:p w14:paraId="201F6952" w14:textId="77777777" w:rsidR="00E05CE4" w:rsidRPr="00AE35E4" w:rsidRDefault="00E05CE4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Konsekvensutredning</w:t>
            </w:r>
          </w:p>
          <w:p w14:paraId="701820B0" w14:textId="77777777" w:rsidR="00E05CE4" w:rsidRPr="00AE35E4" w:rsidRDefault="00E05CE4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(sida)</w:t>
            </w:r>
          </w:p>
        </w:tc>
        <w:tc>
          <w:tcPr>
            <w:tcW w:w="4394" w:type="dxa"/>
          </w:tcPr>
          <w:p w14:paraId="68AAFF17" w14:textId="77777777" w:rsidR="00E05CE4" w:rsidRPr="00AE35E4" w:rsidRDefault="00E05CE4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Kommentar/Motivering</w:t>
            </w:r>
          </w:p>
        </w:tc>
        <w:tc>
          <w:tcPr>
            <w:tcW w:w="4395" w:type="dxa"/>
          </w:tcPr>
          <w:p w14:paraId="0308F8A4" w14:textId="77777777" w:rsidR="00E05CE4" w:rsidRPr="00AE35E4" w:rsidRDefault="00E05CE4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Ert förslag till ändring</w:t>
            </w:r>
          </w:p>
        </w:tc>
      </w:tr>
      <w:tr w:rsidR="00E05CE4" w14:paraId="5832E242" w14:textId="77777777" w:rsidTr="00CF7FC5">
        <w:tc>
          <w:tcPr>
            <w:tcW w:w="1980" w:type="dxa"/>
          </w:tcPr>
          <w:p w14:paraId="0766635C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DFE881E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A4F2298" w14:textId="77777777" w:rsidR="000B4797" w:rsidRDefault="001D2779">
            <w:pPr>
              <w:rPr>
                <w:sz w:val="20"/>
                <w:szCs w:val="20"/>
              </w:rPr>
            </w:pPr>
            <w:r w:rsidRPr="00DB03B6">
              <w:rPr>
                <w:i/>
                <w:iCs/>
                <w:sz w:val="20"/>
                <w:szCs w:val="20"/>
              </w:rPr>
              <w:t>Generell</w:t>
            </w:r>
            <w:r w:rsidR="00DB03B6" w:rsidRPr="00DB03B6">
              <w:rPr>
                <w:i/>
                <w:iCs/>
                <w:sz w:val="20"/>
                <w:szCs w:val="20"/>
              </w:rPr>
              <w:t>a</w:t>
            </w:r>
            <w:r w:rsidRPr="00DB03B6">
              <w:rPr>
                <w:i/>
                <w:iCs/>
                <w:sz w:val="20"/>
                <w:szCs w:val="20"/>
              </w:rPr>
              <w:t xml:space="preserve"> kommentar</w:t>
            </w:r>
            <w:r w:rsidR="00DB03B6" w:rsidRPr="00DB03B6">
              <w:rPr>
                <w:i/>
                <w:iCs/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. </w:t>
            </w:r>
          </w:p>
          <w:p w14:paraId="3CABC27F" w14:textId="77777777" w:rsidR="00901233" w:rsidRDefault="000B4797" w:rsidP="00DA7B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EEF</w:t>
            </w:r>
            <w:proofErr w:type="spellEnd"/>
            <w:r>
              <w:rPr>
                <w:sz w:val="20"/>
                <w:szCs w:val="20"/>
              </w:rPr>
              <w:t xml:space="preserve"> anser generellt att det är bra och viktigt med mätning</w:t>
            </w:r>
            <w:r w:rsidR="000C7594">
              <w:rPr>
                <w:sz w:val="20"/>
                <w:szCs w:val="20"/>
              </w:rPr>
              <w:t xml:space="preserve"> av energianvändning. </w:t>
            </w:r>
            <w:r w:rsidR="00F12EE9">
              <w:rPr>
                <w:sz w:val="20"/>
                <w:szCs w:val="20"/>
              </w:rPr>
              <w:t>Både för att verifiera byggnadens prestanda men även för</w:t>
            </w:r>
            <w:r w:rsidR="007D1B98">
              <w:rPr>
                <w:sz w:val="20"/>
                <w:szCs w:val="20"/>
              </w:rPr>
              <w:t xml:space="preserve"> information till</w:t>
            </w:r>
            <w:r w:rsidR="00F12EE9">
              <w:rPr>
                <w:sz w:val="20"/>
                <w:szCs w:val="20"/>
              </w:rPr>
              <w:t xml:space="preserve"> </w:t>
            </w:r>
            <w:r w:rsidR="0057498D">
              <w:rPr>
                <w:sz w:val="20"/>
                <w:szCs w:val="20"/>
              </w:rPr>
              <w:t xml:space="preserve">brukare/hyresgäster. Vi anser dock inte att </w:t>
            </w:r>
            <w:proofErr w:type="spellStart"/>
            <w:r w:rsidR="0057498D">
              <w:rPr>
                <w:sz w:val="20"/>
                <w:szCs w:val="20"/>
              </w:rPr>
              <w:t>IMD</w:t>
            </w:r>
            <w:proofErr w:type="spellEnd"/>
            <w:r w:rsidR="0057498D">
              <w:rPr>
                <w:sz w:val="20"/>
                <w:szCs w:val="20"/>
              </w:rPr>
              <w:t xml:space="preserve"> värme </w:t>
            </w:r>
            <w:r w:rsidR="004C2767">
              <w:rPr>
                <w:sz w:val="20"/>
                <w:szCs w:val="20"/>
              </w:rPr>
              <w:t>borde införas</w:t>
            </w:r>
            <w:r w:rsidR="00F63300">
              <w:rPr>
                <w:sz w:val="20"/>
                <w:szCs w:val="20"/>
              </w:rPr>
              <w:t xml:space="preserve">, av flera skäl, men vet att denna remiss inte handlar om det. </w:t>
            </w:r>
            <w:r w:rsidR="00CA0799">
              <w:rPr>
                <w:sz w:val="20"/>
                <w:szCs w:val="20"/>
              </w:rPr>
              <w:t xml:space="preserve">Vi vill trots detta lämna synpunkter på föreslagen föreskrift. </w:t>
            </w:r>
          </w:p>
          <w:p w14:paraId="6033F823" w14:textId="77777777" w:rsidR="00F756A1" w:rsidRDefault="00F756A1" w:rsidP="00DA7B59">
            <w:pPr>
              <w:rPr>
                <w:sz w:val="20"/>
                <w:szCs w:val="20"/>
              </w:rPr>
            </w:pPr>
          </w:p>
          <w:p w14:paraId="582B4B8B" w14:textId="77777777" w:rsidR="00F756A1" w:rsidRDefault="00F756A1" w:rsidP="00DA7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Varken i lag, förordning eller föreskrift definieras vad som är </w:t>
            </w:r>
            <w:r w:rsidR="009A03A1">
              <w:rPr>
                <w:sz w:val="20"/>
                <w:szCs w:val="20"/>
              </w:rPr>
              <w:t>”</w:t>
            </w:r>
            <w:r w:rsidR="001A4082" w:rsidRPr="001A4082">
              <w:rPr>
                <w:sz w:val="20"/>
                <w:szCs w:val="20"/>
              </w:rPr>
              <w:t>system för individuell mätning och debitering</w:t>
            </w:r>
            <w:r w:rsidR="009A03A1">
              <w:rPr>
                <w:sz w:val="20"/>
                <w:szCs w:val="20"/>
              </w:rPr>
              <w:t xml:space="preserve">”. </w:t>
            </w:r>
            <w:r w:rsidR="003854AD">
              <w:rPr>
                <w:sz w:val="20"/>
                <w:szCs w:val="20"/>
              </w:rPr>
              <w:t>Det finns heller ingen definition av hur debiteringen</w:t>
            </w:r>
            <w:r w:rsidR="00F45DD7">
              <w:rPr>
                <w:sz w:val="20"/>
                <w:szCs w:val="20"/>
              </w:rPr>
              <w:t xml:space="preserve"> ska gå till. </w:t>
            </w:r>
            <w:r w:rsidR="007B67A9">
              <w:rPr>
                <w:sz w:val="20"/>
                <w:szCs w:val="20"/>
              </w:rPr>
              <w:t>Vilka fördelningsmekanismer ska gälla</w:t>
            </w:r>
            <w:r w:rsidR="003866BD">
              <w:rPr>
                <w:sz w:val="20"/>
                <w:szCs w:val="20"/>
              </w:rPr>
              <w:t xml:space="preserve">? Kan temperaturmätning fungera som </w:t>
            </w:r>
            <w:proofErr w:type="spellStart"/>
            <w:r w:rsidR="003866BD">
              <w:rPr>
                <w:sz w:val="20"/>
                <w:szCs w:val="20"/>
              </w:rPr>
              <w:t xml:space="preserve">metod? </w:t>
            </w:r>
            <w:proofErr w:type="spellEnd"/>
            <w:r w:rsidR="006366A4">
              <w:rPr>
                <w:sz w:val="20"/>
                <w:szCs w:val="20"/>
              </w:rPr>
              <w:t xml:space="preserve">Det </w:t>
            </w:r>
            <w:r w:rsidR="00C72FCB">
              <w:rPr>
                <w:sz w:val="20"/>
                <w:szCs w:val="20"/>
              </w:rPr>
              <w:t xml:space="preserve">påverkar </w:t>
            </w:r>
            <w:r w:rsidR="00B1090D">
              <w:rPr>
                <w:sz w:val="20"/>
                <w:szCs w:val="20"/>
              </w:rPr>
              <w:t xml:space="preserve">den tekniska genomförbarheten. </w:t>
            </w:r>
          </w:p>
          <w:p w14:paraId="1A619B1C" w14:textId="77777777" w:rsidR="00AC69BF" w:rsidRDefault="00AC69BF" w:rsidP="00DA7B59">
            <w:pPr>
              <w:rPr>
                <w:sz w:val="20"/>
                <w:szCs w:val="20"/>
              </w:rPr>
            </w:pPr>
          </w:p>
          <w:p w14:paraId="5B37D0EF" w14:textId="0712DFA2" w:rsidR="00AC69BF" w:rsidRPr="00AE35E4" w:rsidRDefault="00925207" w:rsidP="00DA7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temperaturmätning/komfortmätning godkänns som system</w:t>
            </w:r>
            <w:r w:rsidR="0013414B">
              <w:rPr>
                <w:sz w:val="20"/>
                <w:szCs w:val="20"/>
              </w:rPr>
              <w:t xml:space="preserve"> för mätning kan detta ha andra positiva konse</w:t>
            </w:r>
            <w:r w:rsidR="009917DE">
              <w:rPr>
                <w:sz w:val="20"/>
                <w:szCs w:val="20"/>
              </w:rPr>
              <w:t xml:space="preserve">kvenser utanför denna lag. Temperaturmätning hjälper fastighetsägare att </w:t>
            </w:r>
            <w:proofErr w:type="spellStart"/>
            <w:r w:rsidR="002312EA">
              <w:rPr>
                <w:sz w:val="20"/>
                <w:szCs w:val="20"/>
              </w:rPr>
              <w:t>drifta</w:t>
            </w:r>
            <w:proofErr w:type="spellEnd"/>
            <w:r w:rsidR="002312EA">
              <w:rPr>
                <w:sz w:val="20"/>
                <w:szCs w:val="20"/>
              </w:rPr>
              <w:t xml:space="preserve"> fastigheten med jämn temperatur. Det </w:t>
            </w:r>
            <w:r w:rsidR="000314FB">
              <w:rPr>
                <w:sz w:val="20"/>
                <w:szCs w:val="20"/>
              </w:rPr>
              <w:t xml:space="preserve">kan även vara en </w:t>
            </w:r>
            <w:r w:rsidR="0058247B">
              <w:rPr>
                <w:sz w:val="20"/>
                <w:szCs w:val="20"/>
              </w:rPr>
              <w:t xml:space="preserve">fördel </w:t>
            </w:r>
            <w:r w:rsidR="00A925D9">
              <w:rPr>
                <w:sz w:val="20"/>
                <w:szCs w:val="20"/>
              </w:rPr>
              <w:t xml:space="preserve">i system </w:t>
            </w:r>
            <w:r w:rsidR="002346EE">
              <w:rPr>
                <w:sz w:val="20"/>
                <w:szCs w:val="20"/>
              </w:rPr>
              <w:t xml:space="preserve">där flexibilitet i användningen </w:t>
            </w:r>
            <w:r w:rsidR="00DF6840">
              <w:rPr>
                <w:sz w:val="20"/>
                <w:szCs w:val="20"/>
              </w:rPr>
              <w:t xml:space="preserve">kan minska </w:t>
            </w:r>
            <w:r w:rsidR="008025A1">
              <w:rPr>
                <w:sz w:val="20"/>
                <w:szCs w:val="20"/>
              </w:rPr>
              <w:t xml:space="preserve">både </w:t>
            </w:r>
            <w:r w:rsidR="00DF6840">
              <w:rPr>
                <w:sz w:val="20"/>
                <w:szCs w:val="20"/>
              </w:rPr>
              <w:t>effektuttag och miljöpåverkan.</w:t>
            </w:r>
          </w:p>
        </w:tc>
        <w:tc>
          <w:tcPr>
            <w:tcW w:w="4395" w:type="dxa"/>
          </w:tcPr>
          <w:p w14:paraId="07574D53" w14:textId="77777777" w:rsidR="00E05CE4" w:rsidRDefault="00E05CE4">
            <w:pPr>
              <w:rPr>
                <w:sz w:val="20"/>
                <w:szCs w:val="20"/>
              </w:rPr>
            </w:pPr>
          </w:p>
          <w:p w14:paraId="3B3E1D3A" w14:textId="77777777" w:rsidR="002B1E81" w:rsidRDefault="002B1E81">
            <w:pPr>
              <w:rPr>
                <w:sz w:val="20"/>
                <w:szCs w:val="20"/>
              </w:rPr>
            </w:pPr>
          </w:p>
          <w:p w14:paraId="58F41D20" w14:textId="77777777" w:rsidR="002B1E81" w:rsidRDefault="002B1E81">
            <w:pPr>
              <w:rPr>
                <w:sz w:val="20"/>
                <w:szCs w:val="20"/>
              </w:rPr>
            </w:pPr>
          </w:p>
          <w:p w14:paraId="280E3369" w14:textId="77777777" w:rsidR="002B1E81" w:rsidRDefault="002B1E81">
            <w:pPr>
              <w:rPr>
                <w:sz w:val="20"/>
                <w:szCs w:val="20"/>
              </w:rPr>
            </w:pPr>
          </w:p>
          <w:p w14:paraId="43D7145E" w14:textId="77777777" w:rsidR="002B1E81" w:rsidRDefault="002B1E81">
            <w:pPr>
              <w:rPr>
                <w:sz w:val="20"/>
                <w:szCs w:val="20"/>
              </w:rPr>
            </w:pPr>
          </w:p>
          <w:p w14:paraId="48B0F090" w14:textId="77777777" w:rsidR="002B1E81" w:rsidRDefault="002B1E81">
            <w:pPr>
              <w:rPr>
                <w:sz w:val="20"/>
                <w:szCs w:val="20"/>
              </w:rPr>
            </w:pPr>
          </w:p>
          <w:p w14:paraId="4709A605" w14:textId="77777777" w:rsidR="002B1E81" w:rsidRPr="00AE35E4" w:rsidRDefault="002B1E81">
            <w:pPr>
              <w:rPr>
                <w:sz w:val="20"/>
                <w:szCs w:val="20"/>
              </w:rPr>
            </w:pPr>
          </w:p>
        </w:tc>
      </w:tr>
      <w:tr w:rsidR="00B02D20" w14:paraId="272EE5CB" w14:textId="77777777" w:rsidTr="00CF7FC5">
        <w:tc>
          <w:tcPr>
            <w:tcW w:w="1980" w:type="dxa"/>
          </w:tcPr>
          <w:p w14:paraId="3E60DA21" w14:textId="38E5FEFA" w:rsidR="00B02D20" w:rsidRDefault="0058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§</w:t>
            </w:r>
            <w:r w:rsidR="00137587">
              <w:rPr>
                <w:sz w:val="20"/>
                <w:szCs w:val="20"/>
              </w:rPr>
              <w:t xml:space="preserve"> Definitioner</w:t>
            </w:r>
          </w:p>
        </w:tc>
        <w:tc>
          <w:tcPr>
            <w:tcW w:w="2830" w:type="dxa"/>
          </w:tcPr>
          <w:p w14:paraId="249CF9C8" w14:textId="5BFDBD44" w:rsidR="00B02D20" w:rsidRDefault="00111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14:paraId="2215AEF4" w14:textId="77777777" w:rsidR="00C9445E" w:rsidRDefault="004F59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EEF</w:t>
            </w:r>
            <w:proofErr w:type="spellEnd"/>
            <w:r>
              <w:rPr>
                <w:sz w:val="20"/>
                <w:szCs w:val="20"/>
              </w:rPr>
              <w:t xml:space="preserve"> anser att det inte styr rätt att använda de primärenergifaktorer som gä</w:t>
            </w:r>
            <w:r w:rsidR="008E750C">
              <w:rPr>
                <w:sz w:val="20"/>
                <w:szCs w:val="20"/>
              </w:rPr>
              <w:t xml:space="preserve">ller i dagens BBR. </w:t>
            </w:r>
            <w:r w:rsidR="008E2169">
              <w:rPr>
                <w:sz w:val="20"/>
                <w:szCs w:val="20"/>
              </w:rPr>
              <w:t xml:space="preserve">Dels kommer dessa att ändras och en </w:t>
            </w:r>
            <w:r w:rsidR="008E2169">
              <w:rPr>
                <w:sz w:val="20"/>
                <w:szCs w:val="20"/>
              </w:rPr>
              <w:lastRenderedPageBreak/>
              <w:t xml:space="preserve">fastighetsägare kommer då ha olika </w:t>
            </w:r>
            <w:r w:rsidR="00EC77B3">
              <w:rPr>
                <w:sz w:val="20"/>
                <w:szCs w:val="20"/>
              </w:rPr>
              <w:t>primärenergifaktorer i olika lagstiftning</w:t>
            </w:r>
            <w:r w:rsidR="00C9445E">
              <w:rPr>
                <w:sz w:val="20"/>
                <w:szCs w:val="20"/>
              </w:rPr>
              <w:t xml:space="preserve">. </w:t>
            </w:r>
          </w:p>
          <w:p w14:paraId="352746AC" w14:textId="4D2B75FF" w:rsidR="00B02D20" w:rsidRDefault="008E7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betyder </w:t>
            </w:r>
            <w:r w:rsidR="00E5263A">
              <w:rPr>
                <w:sz w:val="20"/>
                <w:szCs w:val="20"/>
              </w:rPr>
              <w:t xml:space="preserve">även </w:t>
            </w:r>
            <w:r>
              <w:rPr>
                <w:sz w:val="20"/>
                <w:szCs w:val="20"/>
              </w:rPr>
              <w:t xml:space="preserve">att en byggnad som byter från fjärrvärme till värmepump </w:t>
            </w:r>
            <w:r w:rsidR="00270CFE">
              <w:rPr>
                <w:sz w:val="20"/>
                <w:szCs w:val="20"/>
              </w:rPr>
              <w:t xml:space="preserve">enkelt </w:t>
            </w:r>
            <w:r w:rsidR="0024235B">
              <w:rPr>
                <w:sz w:val="20"/>
                <w:szCs w:val="20"/>
              </w:rPr>
              <w:t>skulle kunna hamna under gränsvärdet (180 respektive</w:t>
            </w:r>
            <w:r w:rsidR="00C651C9">
              <w:rPr>
                <w:sz w:val="20"/>
                <w:szCs w:val="20"/>
              </w:rPr>
              <w:t xml:space="preserve"> </w:t>
            </w:r>
            <w:r w:rsidR="0024235B">
              <w:rPr>
                <w:sz w:val="20"/>
                <w:szCs w:val="20"/>
              </w:rPr>
              <w:t>200 kWh/m2)</w:t>
            </w:r>
            <w:r w:rsidR="001F7EE9">
              <w:rPr>
                <w:sz w:val="20"/>
                <w:szCs w:val="20"/>
              </w:rPr>
              <w:t xml:space="preserve">. </w:t>
            </w:r>
            <w:r w:rsidR="00EF468C">
              <w:rPr>
                <w:sz w:val="20"/>
                <w:szCs w:val="20"/>
              </w:rPr>
              <w:t>Med öka</w:t>
            </w:r>
            <w:r w:rsidR="00733E91">
              <w:rPr>
                <w:sz w:val="20"/>
                <w:szCs w:val="20"/>
              </w:rPr>
              <w:t>t</w:t>
            </w:r>
            <w:r w:rsidR="00EF468C">
              <w:rPr>
                <w:sz w:val="20"/>
                <w:szCs w:val="20"/>
              </w:rPr>
              <w:t xml:space="preserve"> eleffektbehov under</w:t>
            </w:r>
            <w:r w:rsidR="00733E91">
              <w:rPr>
                <w:sz w:val="20"/>
                <w:szCs w:val="20"/>
              </w:rPr>
              <w:t xml:space="preserve"> </w:t>
            </w:r>
            <w:r w:rsidR="00EF468C">
              <w:rPr>
                <w:sz w:val="20"/>
                <w:szCs w:val="20"/>
              </w:rPr>
              <w:t xml:space="preserve">kalla dagar </w:t>
            </w:r>
            <w:r w:rsidR="00733E91">
              <w:rPr>
                <w:sz w:val="20"/>
                <w:szCs w:val="20"/>
              </w:rPr>
              <w:t>som konsekvens.</w:t>
            </w:r>
          </w:p>
        </w:tc>
        <w:tc>
          <w:tcPr>
            <w:tcW w:w="4395" w:type="dxa"/>
          </w:tcPr>
          <w:p w14:paraId="3ECF063B" w14:textId="1635ECC3" w:rsidR="00B02D20" w:rsidRDefault="00B45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Använd de nya föreslagna vikt</w:t>
            </w:r>
            <w:r w:rsidR="00175C6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ingsfaktorerna</w:t>
            </w:r>
            <w:r w:rsidR="00A32D14">
              <w:rPr>
                <w:sz w:val="20"/>
                <w:szCs w:val="20"/>
              </w:rPr>
              <w:t xml:space="preserve"> (antar att de är beslutade innan </w:t>
            </w:r>
            <w:r w:rsidR="00703098">
              <w:rPr>
                <w:sz w:val="20"/>
                <w:szCs w:val="20"/>
              </w:rPr>
              <w:t>lagen om energimätning</w:t>
            </w:r>
            <w:r w:rsidR="00A32D14">
              <w:rPr>
                <w:sz w:val="20"/>
                <w:szCs w:val="20"/>
              </w:rPr>
              <w:t xml:space="preserve"> träder i kraft)</w:t>
            </w:r>
          </w:p>
        </w:tc>
      </w:tr>
      <w:tr w:rsidR="00E05CE4" w14:paraId="464895BF" w14:textId="77777777" w:rsidTr="00CF7FC5">
        <w:tc>
          <w:tcPr>
            <w:tcW w:w="1980" w:type="dxa"/>
          </w:tcPr>
          <w:p w14:paraId="331EF304" w14:textId="77777777" w:rsidR="00E05CE4" w:rsidRPr="00AE35E4" w:rsidRDefault="0011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§</w:t>
            </w:r>
            <w:r w:rsidR="00901233">
              <w:rPr>
                <w:sz w:val="20"/>
                <w:szCs w:val="20"/>
              </w:rPr>
              <w:t xml:space="preserve"> Kriterier för teknisk genomförbarhet</w:t>
            </w:r>
          </w:p>
        </w:tc>
        <w:tc>
          <w:tcPr>
            <w:tcW w:w="2830" w:type="dxa"/>
          </w:tcPr>
          <w:p w14:paraId="455DAFA7" w14:textId="77777777" w:rsidR="00E05CE4" w:rsidRPr="00AE35E4" w:rsidRDefault="00114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12-13</w:t>
            </w:r>
            <w:proofErr w:type="gramEnd"/>
          </w:p>
        </w:tc>
        <w:tc>
          <w:tcPr>
            <w:tcW w:w="4394" w:type="dxa"/>
          </w:tcPr>
          <w:p w14:paraId="36287348" w14:textId="0A196839" w:rsidR="00E05CE4" w:rsidRDefault="0011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När det gäller avsteg från </w:t>
            </w:r>
            <w:r w:rsidR="000C0AD1">
              <w:rPr>
                <w:sz w:val="20"/>
                <w:szCs w:val="20"/>
              </w:rPr>
              <w:t>den</w:t>
            </w:r>
            <w:r>
              <w:rPr>
                <w:sz w:val="20"/>
                <w:szCs w:val="20"/>
              </w:rPr>
              <w:t xml:space="preserve"> teknisk</w:t>
            </w:r>
            <w:r w:rsidR="000C0AD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genomförbar</w:t>
            </w:r>
            <w:r w:rsidR="00FE0E85">
              <w:rPr>
                <w:sz w:val="20"/>
                <w:szCs w:val="20"/>
              </w:rPr>
              <w:t>heten</w:t>
            </w:r>
            <w:r>
              <w:rPr>
                <w:sz w:val="20"/>
                <w:szCs w:val="20"/>
              </w:rPr>
              <w:t xml:space="preserve"> att installera system för mätning måste det vara tydligt</w:t>
            </w:r>
            <w:r w:rsidR="00B119FA">
              <w:rPr>
                <w:sz w:val="20"/>
                <w:szCs w:val="20"/>
              </w:rPr>
              <w:t xml:space="preserve"> vad som menas</w:t>
            </w:r>
            <w:r>
              <w:rPr>
                <w:sz w:val="20"/>
                <w:szCs w:val="20"/>
              </w:rPr>
              <w:t xml:space="preserve">. </w:t>
            </w:r>
            <w:r w:rsidR="00175A86">
              <w:rPr>
                <w:sz w:val="20"/>
                <w:szCs w:val="20"/>
              </w:rPr>
              <w:t xml:space="preserve">Vi tror </w:t>
            </w:r>
            <w:r w:rsidR="004D0BF0">
              <w:rPr>
                <w:sz w:val="20"/>
                <w:szCs w:val="20"/>
              </w:rPr>
              <w:t xml:space="preserve">annars </w:t>
            </w:r>
            <w:r w:rsidR="00175A86">
              <w:rPr>
                <w:sz w:val="20"/>
                <w:szCs w:val="20"/>
              </w:rPr>
              <w:t xml:space="preserve">att det </w:t>
            </w:r>
            <w:r w:rsidR="004A02FA">
              <w:rPr>
                <w:sz w:val="20"/>
                <w:szCs w:val="20"/>
              </w:rPr>
              <w:t>ko</w:t>
            </w:r>
            <w:r w:rsidR="0095382E">
              <w:rPr>
                <w:sz w:val="20"/>
                <w:szCs w:val="20"/>
              </w:rPr>
              <w:t>mmer att leda till många avsteg</w:t>
            </w:r>
            <w:r w:rsidR="00C21609">
              <w:rPr>
                <w:sz w:val="20"/>
                <w:szCs w:val="20"/>
              </w:rPr>
              <w:t xml:space="preserve">. </w:t>
            </w:r>
          </w:p>
          <w:p w14:paraId="48DB7449" w14:textId="77777777" w:rsidR="00B4443D" w:rsidRDefault="00B4443D">
            <w:pPr>
              <w:rPr>
                <w:sz w:val="20"/>
                <w:szCs w:val="20"/>
              </w:rPr>
            </w:pPr>
          </w:p>
          <w:p w14:paraId="2608FA46" w14:textId="22B60454" w:rsidR="005A2C38" w:rsidRPr="00AE35E4" w:rsidRDefault="00B4443D" w:rsidP="000C0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14:paraId="2A52D1D5" w14:textId="3E84F9F5" w:rsidR="005A2C38" w:rsidRPr="00AE35E4" w:rsidRDefault="00B44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bör på något vis beskrivas vad som kan betraktas som ett undantag. Alternativt </w:t>
            </w:r>
            <w:r w:rsidR="002B1E81">
              <w:rPr>
                <w:sz w:val="20"/>
                <w:szCs w:val="20"/>
              </w:rPr>
              <w:t>inkludera</w:t>
            </w:r>
            <w:r>
              <w:rPr>
                <w:sz w:val="20"/>
                <w:szCs w:val="20"/>
              </w:rPr>
              <w:t xml:space="preserve"> en exempellista som tillsynsmyndigheten kan luta sig mot. </w:t>
            </w:r>
          </w:p>
        </w:tc>
      </w:tr>
      <w:tr w:rsidR="00E05CE4" w14:paraId="33CEC267" w14:textId="77777777" w:rsidTr="00CF7FC5">
        <w:tc>
          <w:tcPr>
            <w:tcW w:w="1980" w:type="dxa"/>
          </w:tcPr>
          <w:p w14:paraId="69A59128" w14:textId="77777777" w:rsidR="00E05CE4" w:rsidRPr="00AE35E4" w:rsidRDefault="0090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§ Kriterier för proportional</w:t>
            </w:r>
            <w:r w:rsidR="00FE0E8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tet</w:t>
            </w:r>
          </w:p>
        </w:tc>
        <w:tc>
          <w:tcPr>
            <w:tcW w:w="2830" w:type="dxa"/>
          </w:tcPr>
          <w:p w14:paraId="0FBEA465" w14:textId="77777777" w:rsidR="00E05CE4" w:rsidRPr="00AE35E4" w:rsidRDefault="00DF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 15</w:t>
            </w:r>
          </w:p>
        </w:tc>
        <w:tc>
          <w:tcPr>
            <w:tcW w:w="4394" w:type="dxa"/>
          </w:tcPr>
          <w:p w14:paraId="1FB569A5" w14:textId="74459A8A" w:rsidR="00901233" w:rsidRPr="00AE35E4" w:rsidRDefault="00DF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Kriterier för proportionalitet i förhållande till möjliga energibesparingar. </w:t>
            </w:r>
            <w:r w:rsidR="00C51F23">
              <w:rPr>
                <w:sz w:val="20"/>
                <w:szCs w:val="20"/>
              </w:rPr>
              <w:t xml:space="preserve">En fastighetsägare som </w:t>
            </w:r>
            <w:r w:rsidR="004C7E32">
              <w:rPr>
                <w:sz w:val="20"/>
                <w:szCs w:val="20"/>
              </w:rPr>
              <w:t xml:space="preserve">idag har en jämn temperatur mellan </w:t>
            </w:r>
            <w:proofErr w:type="spellStart"/>
            <w:r w:rsidR="004C7E32">
              <w:rPr>
                <w:sz w:val="20"/>
                <w:szCs w:val="20"/>
              </w:rPr>
              <w:t>lgh</w:t>
            </w:r>
            <w:proofErr w:type="spellEnd"/>
            <w:r w:rsidR="004C7E32">
              <w:rPr>
                <w:sz w:val="20"/>
                <w:szCs w:val="20"/>
              </w:rPr>
              <w:t xml:space="preserve">/lokaler </w:t>
            </w:r>
            <w:r w:rsidR="001F23D3">
              <w:rPr>
                <w:sz w:val="20"/>
                <w:szCs w:val="20"/>
              </w:rPr>
              <w:t xml:space="preserve">och en rimlig temperaturnivå </w:t>
            </w:r>
            <w:r w:rsidR="00693793">
              <w:rPr>
                <w:sz w:val="20"/>
                <w:szCs w:val="20"/>
              </w:rPr>
              <w:t>kan h</w:t>
            </w:r>
            <w:r w:rsidR="00CB4A9F">
              <w:rPr>
                <w:sz w:val="20"/>
                <w:szCs w:val="20"/>
              </w:rPr>
              <w:t xml:space="preserve">är visa att det inte är </w:t>
            </w:r>
            <w:r w:rsidR="00F94433">
              <w:rPr>
                <w:sz w:val="20"/>
                <w:szCs w:val="20"/>
              </w:rPr>
              <w:t xml:space="preserve">proportionerligt att införa </w:t>
            </w:r>
            <w:proofErr w:type="spellStart"/>
            <w:r w:rsidR="00F94433">
              <w:rPr>
                <w:sz w:val="20"/>
                <w:szCs w:val="20"/>
              </w:rPr>
              <w:t>IMD</w:t>
            </w:r>
            <w:proofErr w:type="spellEnd"/>
            <w:r w:rsidR="00F94433">
              <w:rPr>
                <w:sz w:val="20"/>
                <w:szCs w:val="20"/>
              </w:rPr>
              <w:t xml:space="preserve"> Värme. Det </w:t>
            </w:r>
            <w:r w:rsidR="00C94952">
              <w:rPr>
                <w:sz w:val="20"/>
                <w:szCs w:val="20"/>
              </w:rPr>
              <w:t xml:space="preserve">är </w:t>
            </w:r>
            <w:r w:rsidR="00F31D46">
              <w:rPr>
                <w:sz w:val="20"/>
                <w:szCs w:val="20"/>
              </w:rPr>
              <w:t>bra</w:t>
            </w:r>
            <w:r w:rsidR="00212B12">
              <w:rPr>
                <w:sz w:val="20"/>
                <w:szCs w:val="20"/>
              </w:rPr>
              <w:t xml:space="preserve">! </w:t>
            </w:r>
            <w:r w:rsidR="00A83B73">
              <w:rPr>
                <w:sz w:val="20"/>
                <w:szCs w:val="20"/>
              </w:rPr>
              <w:t xml:space="preserve">Här borde det </w:t>
            </w:r>
            <w:r w:rsidR="000530C7">
              <w:rPr>
                <w:sz w:val="20"/>
                <w:szCs w:val="20"/>
              </w:rPr>
              <w:t xml:space="preserve">dock </w:t>
            </w:r>
            <w:r w:rsidR="00A83B73">
              <w:rPr>
                <w:sz w:val="20"/>
                <w:szCs w:val="20"/>
              </w:rPr>
              <w:t xml:space="preserve">specificeras </w:t>
            </w:r>
            <w:r w:rsidR="00723873">
              <w:rPr>
                <w:sz w:val="20"/>
                <w:szCs w:val="20"/>
              </w:rPr>
              <w:t xml:space="preserve">hur energibesparingen är </w:t>
            </w:r>
            <w:r w:rsidR="006F1010">
              <w:rPr>
                <w:sz w:val="20"/>
                <w:szCs w:val="20"/>
              </w:rPr>
              <w:t xml:space="preserve">beräknad och </w:t>
            </w:r>
            <w:r w:rsidR="00D77327">
              <w:rPr>
                <w:sz w:val="20"/>
                <w:szCs w:val="20"/>
              </w:rPr>
              <w:t xml:space="preserve">hur temperaturerna är </w:t>
            </w:r>
            <w:r w:rsidR="006F1010">
              <w:rPr>
                <w:sz w:val="20"/>
                <w:szCs w:val="20"/>
              </w:rPr>
              <w:t>uppmätt</w:t>
            </w:r>
            <w:r w:rsidR="00D77327">
              <w:rPr>
                <w:sz w:val="20"/>
                <w:szCs w:val="20"/>
              </w:rPr>
              <w:t>a</w:t>
            </w:r>
            <w:r w:rsidR="006F1010">
              <w:rPr>
                <w:sz w:val="20"/>
                <w:szCs w:val="20"/>
              </w:rPr>
              <w:t xml:space="preserve">. </w:t>
            </w:r>
            <w:r w:rsidR="00496929">
              <w:rPr>
                <w:sz w:val="20"/>
                <w:szCs w:val="20"/>
              </w:rPr>
              <w:t xml:space="preserve">Annars kan de flesta </w:t>
            </w:r>
            <w:r w:rsidR="0093312D">
              <w:rPr>
                <w:sz w:val="20"/>
                <w:szCs w:val="20"/>
              </w:rPr>
              <w:t>f</w:t>
            </w:r>
            <w:r w:rsidR="00496929">
              <w:rPr>
                <w:sz w:val="20"/>
                <w:szCs w:val="20"/>
              </w:rPr>
              <w:t xml:space="preserve">astighetsägare </w:t>
            </w:r>
            <w:r w:rsidR="009D7D9C">
              <w:rPr>
                <w:sz w:val="20"/>
                <w:szCs w:val="20"/>
              </w:rPr>
              <w:t xml:space="preserve">i och med denna skrivning bortse från kravet. </w:t>
            </w:r>
          </w:p>
        </w:tc>
        <w:tc>
          <w:tcPr>
            <w:tcW w:w="4395" w:type="dxa"/>
          </w:tcPr>
          <w:p w14:paraId="0DA2A634" w14:textId="47FD3804" w:rsidR="00E05CE4" w:rsidRPr="00AE35E4" w:rsidRDefault="003E1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Borde finnas en specifikation på hur energibesparing</w:t>
            </w:r>
            <w:r w:rsidR="007771AD">
              <w:rPr>
                <w:sz w:val="20"/>
                <w:szCs w:val="20"/>
              </w:rPr>
              <w:t xml:space="preserve"> ska beräknas och krav på temperaturmätning i </w:t>
            </w:r>
            <w:proofErr w:type="spellStart"/>
            <w:r w:rsidR="007771AD">
              <w:rPr>
                <w:sz w:val="20"/>
                <w:szCs w:val="20"/>
              </w:rPr>
              <w:t>lgh</w:t>
            </w:r>
            <w:proofErr w:type="spellEnd"/>
            <w:r w:rsidR="007771AD">
              <w:rPr>
                <w:sz w:val="20"/>
                <w:szCs w:val="20"/>
              </w:rPr>
              <w:t xml:space="preserve">/lokaler för att </w:t>
            </w:r>
            <w:r w:rsidR="00ED5449">
              <w:rPr>
                <w:sz w:val="20"/>
                <w:szCs w:val="20"/>
              </w:rPr>
              <w:t>använda detta avsteg.</w:t>
            </w:r>
            <w:r w:rsidR="008B3FF4">
              <w:rPr>
                <w:sz w:val="20"/>
                <w:szCs w:val="20"/>
              </w:rPr>
              <w:t xml:space="preserve"> Det är inte bara ränta </w:t>
            </w:r>
            <w:r w:rsidR="00F146A4">
              <w:rPr>
                <w:sz w:val="20"/>
                <w:szCs w:val="20"/>
              </w:rPr>
              <w:t xml:space="preserve">och livslängd </w:t>
            </w:r>
            <w:r w:rsidR="008B3FF4">
              <w:rPr>
                <w:sz w:val="20"/>
                <w:szCs w:val="20"/>
              </w:rPr>
              <w:t>som är viktigt</w:t>
            </w:r>
            <w:r w:rsidR="009314D0">
              <w:rPr>
                <w:sz w:val="20"/>
                <w:szCs w:val="20"/>
              </w:rPr>
              <w:t xml:space="preserve"> i uträkningen</w:t>
            </w:r>
            <w:r w:rsidR="00F146A4">
              <w:rPr>
                <w:sz w:val="20"/>
                <w:szCs w:val="20"/>
              </w:rPr>
              <w:t xml:space="preserve"> och som behöver specificeras. </w:t>
            </w:r>
          </w:p>
        </w:tc>
      </w:tr>
      <w:tr w:rsidR="00E05CE4" w14:paraId="45F3386E" w14:textId="77777777" w:rsidTr="00CF7FC5">
        <w:tc>
          <w:tcPr>
            <w:tcW w:w="1980" w:type="dxa"/>
          </w:tcPr>
          <w:p w14:paraId="1E04B506" w14:textId="77777777" w:rsidR="00E05CE4" w:rsidRPr="00AE35E4" w:rsidRDefault="0090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6, Kriterier för energieffektiviserande åtgärder</w:t>
            </w:r>
          </w:p>
        </w:tc>
        <w:tc>
          <w:tcPr>
            <w:tcW w:w="2830" w:type="dxa"/>
          </w:tcPr>
          <w:p w14:paraId="35A16539" w14:textId="77777777" w:rsidR="00E05CE4" w:rsidRPr="00AE35E4" w:rsidRDefault="00A62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Sid </w:t>
            </w:r>
            <w:proofErr w:type="gramStart"/>
            <w:r>
              <w:rPr>
                <w:sz w:val="20"/>
                <w:szCs w:val="20"/>
              </w:rPr>
              <w:t>20-21</w:t>
            </w:r>
            <w:proofErr w:type="gramEnd"/>
          </w:p>
        </w:tc>
        <w:tc>
          <w:tcPr>
            <w:tcW w:w="4394" w:type="dxa"/>
          </w:tcPr>
          <w:p w14:paraId="0BB4FE79" w14:textId="30407F9F" w:rsidR="00E05CE4" w:rsidRPr="00AE35E4" w:rsidRDefault="00A62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Kriterier för energieffektiviserande åtgärder.</w:t>
            </w:r>
            <w:r w:rsidR="00901233">
              <w:rPr>
                <w:sz w:val="20"/>
                <w:szCs w:val="20"/>
              </w:rPr>
              <w:t xml:space="preserve"> Det är mycket bra att det finns en tidsram för när åt</w:t>
            </w:r>
            <w:r w:rsidR="00901233">
              <w:rPr>
                <w:sz w:val="20"/>
                <w:szCs w:val="20"/>
              </w:rPr>
              <w:softHyphen/>
              <w:t>gärderna ska vara genomförda.</w:t>
            </w:r>
            <w:r>
              <w:rPr>
                <w:sz w:val="20"/>
                <w:szCs w:val="20"/>
              </w:rPr>
              <w:t xml:space="preserve"> Det är viktigt att byggnadsägaren kan redovisa att åtgärder har genomförts så att energiprestanda har sjunkit under de värden som är angivna i §3. </w:t>
            </w:r>
            <w:r w:rsidR="00E80192">
              <w:rPr>
                <w:sz w:val="20"/>
                <w:szCs w:val="20"/>
              </w:rPr>
              <w:t>Vi anser att energideklarationen ska kunna användas för detta. Då måste primärenergifaktorer</w:t>
            </w:r>
            <w:r w:rsidR="006D0A87">
              <w:rPr>
                <w:sz w:val="20"/>
                <w:szCs w:val="20"/>
              </w:rPr>
              <w:t>/viktningsfaktorer</w:t>
            </w:r>
            <w:r w:rsidR="00E80192">
              <w:rPr>
                <w:sz w:val="20"/>
                <w:szCs w:val="20"/>
              </w:rPr>
              <w:t xml:space="preserve"> i de båda systemen stämma överens!</w:t>
            </w:r>
          </w:p>
        </w:tc>
        <w:tc>
          <w:tcPr>
            <w:tcW w:w="4395" w:type="dxa"/>
          </w:tcPr>
          <w:p w14:paraId="5AA76D78" w14:textId="77777777" w:rsidR="00901233" w:rsidRDefault="0090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Komplettera med följande mening:</w:t>
            </w:r>
          </w:p>
          <w:p w14:paraId="641F88E1" w14:textId="0EEA7267" w:rsidR="00901233" w:rsidRDefault="0090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Verifiering ska ske genom att upprätta en ny energideklaration.</w:t>
            </w:r>
          </w:p>
          <w:p w14:paraId="28D31C59" w14:textId="77777777" w:rsidR="001F3942" w:rsidRPr="00AE35E4" w:rsidRDefault="001F3942">
            <w:pPr>
              <w:rPr>
                <w:sz w:val="20"/>
                <w:szCs w:val="20"/>
              </w:rPr>
            </w:pPr>
          </w:p>
        </w:tc>
      </w:tr>
      <w:tr w:rsidR="00E05CE4" w14:paraId="42B5EF5E" w14:textId="77777777" w:rsidTr="00CF7FC5">
        <w:tc>
          <w:tcPr>
            <w:tcW w:w="1980" w:type="dxa"/>
          </w:tcPr>
          <w:p w14:paraId="1EC8B359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4951994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702F7BE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7E6F79D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</w:tr>
      <w:tr w:rsidR="00E05CE4" w14:paraId="316AC4B2" w14:textId="77777777" w:rsidTr="00CF7FC5">
        <w:tc>
          <w:tcPr>
            <w:tcW w:w="1980" w:type="dxa"/>
          </w:tcPr>
          <w:p w14:paraId="58ACBEDD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6231CB1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C10AE88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704778A" w14:textId="77777777" w:rsidR="00E05CE4" w:rsidRPr="00AE35E4" w:rsidRDefault="00E05CE4">
            <w:pPr>
              <w:rPr>
                <w:sz w:val="20"/>
                <w:szCs w:val="20"/>
              </w:rPr>
            </w:pPr>
          </w:p>
        </w:tc>
      </w:tr>
    </w:tbl>
    <w:p w14:paraId="6808B927" w14:textId="306548FF" w:rsidR="001143B4" w:rsidRDefault="00205D0B" w:rsidP="007B2F4C">
      <w:pPr>
        <w:tabs>
          <w:tab w:val="left" w:pos="5220"/>
        </w:tabs>
      </w:pPr>
    </w:p>
    <w:sectPr w:rsidR="00114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76678" w14:textId="77777777" w:rsidR="00205D0B" w:rsidRDefault="00205D0B">
      <w:r>
        <w:separator/>
      </w:r>
    </w:p>
  </w:endnote>
  <w:endnote w:type="continuationSeparator" w:id="0">
    <w:p w14:paraId="36C2C8DB" w14:textId="77777777" w:rsidR="00205D0B" w:rsidRDefault="0020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DB81" w14:textId="77777777" w:rsidR="00D0223B" w:rsidRDefault="00D022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37D60" w14:textId="77777777" w:rsidR="00D0223B" w:rsidRDefault="00D022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F361" w14:textId="77777777" w:rsidR="00D0223B" w:rsidRDefault="00D022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41D6E" w14:textId="77777777" w:rsidR="00205D0B" w:rsidRDefault="00205D0B">
      <w:r>
        <w:separator/>
      </w:r>
    </w:p>
  </w:footnote>
  <w:footnote w:type="continuationSeparator" w:id="0">
    <w:p w14:paraId="37C1815D" w14:textId="77777777" w:rsidR="00205D0B" w:rsidRDefault="0020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5CD9" w14:textId="77777777" w:rsidR="00D0223B" w:rsidRDefault="00205D0B">
    <w:pPr>
      <w:pStyle w:val="Sidhuvud"/>
    </w:pPr>
    <w:r>
      <w:rPr>
        <w:noProof/>
      </w:rPr>
      <w:pict w14:anchorId="100031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507641" o:spid="_x0000_s2051" type="#_x0000_t136" alt="" style="position:absolute;margin-left:0;margin-top:0;width:455.75pt;height:130.2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örs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736F" w14:textId="77777777" w:rsidR="00AC73ED" w:rsidRDefault="00205D0B">
    <w:pPr>
      <w:pStyle w:val="Sidhuvud"/>
    </w:pPr>
    <w:r>
      <w:rPr>
        <w:noProof/>
      </w:rPr>
      <w:pict w14:anchorId="58BCB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507642" o:spid="_x0000_s2050" type="#_x0000_t136" alt="" style="position:absolute;margin-left:0;margin-top:0;width:455.75pt;height:130.2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örslag"/>
          <w10:wrap anchorx="margin" anchory="margin"/>
        </v:shape>
      </w:pict>
    </w:r>
    <w:r w:rsidR="0065659F">
      <w:rPr>
        <w:noProof/>
      </w:rPr>
      <w:drawing>
        <wp:anchor distT="0" distB="0" distL="114300" distR="114300" simplePos="0" relativeHeight="251658240" behindDoc="0" locked="0" layoutInCell="1" allowOverlap="1" wp14:anchorId="72D36F78" wp14:editId="346855D7">
          <wp:simplePos x="0" y="0"/>
          <wp:positionH relativeFrom="column">
            <wp:posOffset>-309245</wp:posOffset>
          </wp:positionH>
          <wp:positionV relativeFrom="paragraph">
            <wp:posOffset>-201295</wp:posOffset>
          </wp:positionV>
          <wp:extent cx="1436370" cy="1057910"/>
          <wp:effectExtent l="0" t="0" r="0" b="8890"/>
          <wp:wrapTopAndBottom/>
          <wp:docPr id="1" name="Bildobjekt 1" descr="boverket_logo_40_cmy#4CA3F6_p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verket_logo_40_cmy#4CA3F6_po-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0184" w14:textId="77777777" w:rsidR="00D0223B" w:rsidRDefault="00205D0B">
    <w:pPr>
      <w:pStyle w:val="Sidhuvud"/>
    </w:pPr>
    <w:r>
      <w:rPr>
        <w:noProof/>
      </w:rPr>
      <w:pict w14:anchorId="21B1E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507640" o:spid="_x0000_s2049" type="#_x0000_t136" alt="" style="position:absolute;margin-left:0;margin-top:0;width:455.75pt;height:130.2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örsla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AE"/>
    <w:rsid w:val="00004A9E"/>
    <w:rsid w:val="00025F8B"/>
    <w:rsid w:val="000314FB"/>
    <w:rsid w:val="000530C7"/>
    <w:rsid w:val="000720BE"/>
    <w:rsid w:val="000B3A16"/>
    <w:rsid w:val="000B4797"/>
    <w:rsid w:val="000C0AD1"/>
    <w:rsid w:val="000C7594"/>
    <w:rsid w:val="001025E3"/>
    <w:rsid w:val="0010756C"/>
    <w:rsid w:val="001115AD"/>
    <w:rsid w:val="00114C4A"/>
    <w:rsid w:val="0013414B"/>
    <w:rsid w:val="00137587"/>
    <w:rsid w:val="00175A86"/>
    <w:rsid w:val="00175C66"/>
    <w:rsid w:val="00194AA9"/>
    <w:rsid w:val="001A4082"/>
    <w:rsid w:val="001A5278"/>
    <w:rsid w:val="001A6C41"/>
    <w:rsid w:val="001D2779"/>
    <w:rsid w:val="001F15FE"/>
    <w:rsid w:val="001F23D3"/>
    <w:rsid w:val="001F3942"/>
    <w:rsid w:val="001F7EE9"/>
    <w:rsid w:val="00205D0B"/>
    <w:rsid w:val="00212B12"/>
    <w:rsid w:val="0022471F"/>
    <w:rsid w:val="002312DC"/>
    <w:rsid w:val="002312EA"/>
    <w:rsid w:val="002346EE"/>
    <w:rsid w:val="0024235B"/>
    <w:rsid w:val="00270CFE"/>
    <w:rsid w:val="0029349B"/>
    <w:rsid w:val="002B1E81"/>
    <w:rsid w:val="00330828"/>
    <w:rsid w:val="003854AD"/>
    <w:rsid w:val="00385E9C"/>
    <w:rsid w:val="003866BD"/>
    <w:rsid w:val="003E10BC"/>
    <w:rsid w:val="004852B3"/>
    <w:rsid w:val="0049029C"/>
    <w:rsid w:val="00496929"/>
    <w:rsid w:val="004A02FA"/>
    <w:rsid w:val="004C2767"/>
    <w:rsid w:val="004C7E32"/>
    <w:rsid w:val="004D0BF0"/>
    <w:rsid w:val="004F33D7"/>
    <w:rsid w:val="004F4D19"/>
    <w:rsid w:val="004F5996"/>
    <w:rsid w:val="005279A5"/>
    <w:rsid w:val="00527C7B"/>
    <w:rsid w:val="005551C7"/>
    <w:rsid w:val="0057498D"/>
    <w:rsid w:val="0058247B"/>
    <w:rsid w:val="00583EA6"/>
    <w:rsid w:val="005946E9"/>
    <w:rsid w:val="005A2C38"/>
    <w:rsid w:val="005A3AAE"/>
    <w:rsid w:val="005E6DCD"/>
    <w:rsid w:val="006258BB"/>
    <w:rsid w:val="006366A4"/>
    <w:rsid w:val="0065659F"/>
    <w:rsid w:val="00683ED6"/>
    <w:rsid w:val="00693793"/>
    <w:rsid w:val="006D0A87"/>
    <w:rsid w:val="006D2971"/>
    <w:rsid w:val="006F1010"/>
    <w:rsid w:val="006F304C"/>
    <w:rsid w:val="00703098"/>
    <w:rsid w:val="007048FC"/>
    <w:rsid w:val="00723873"/>
    <w:rsid w:val="00733E91"/>
    <w:rsid w:val="007622CD"/>
    <w:rsid w:val="00763D19"/>
    <w:rsid w:val="0076761E"/>
    <w:rsid w:val="0077697E"/>
    <w:rsid w:val="007771AD"/>
    <w:rsid w:val="00781CA4"/>
    <w:rsid w:val="007A3B18"/>
    <w:rsid w:val="007B2F4C"/>
    <w:rsid w:val="007B5315"/>
    <w:rsid w:val="007B67A9"/>
    <w:rsid w:val="007B73B6"/>
    <w:rsid w:val="007D1B98"/>
    <w:rsid w:val="008025A1"/>
    <w:rsid w:val="00860923"/>
    <w:rsid w:val="00871B99"/>
    <w:rsid w:val="008B3FF4"/>
    <w:rsid w:val="008D28AA"/>
    <w:rsid w:val="008E2169"/>
    <w:rsid w:val="008E750C"/>
    <w:rsid w:val="00901233"/>
    <w:rsid w:val="00925207"/>
    <w:rsid w:val="00925DC1"/>
    <w:rsid w:val="009314D0"/>
    <w:rsid w:val="0093312D"/>
    <w:rsid w:val="00942417"/>
    <w:rsid w:val="00947CAE"/>
    <w:rsid w:val="009520AE"/>
    <w:rsid w:val="0095382E"/>
    <w:rsid w:val="00984877"/>
    <w:rsid w:val="009917DE"/>
    <w:rsid w:val="009A03A1"/>
    <w:rsid w:val="009B0C34"/>
    <w:rsid w:val="009D7D9C"/>
    <w:rsid w:val="00A32D14"/>
    <w:rsid w:val="00A62324"/>
    <w:rsid w:val="00A83B73"/>
    <w:rsid w:val="00A925D9"/>
    <w:rsid w:val="00AC62AE"/>
    <w:rsid w:val="00AC69BF"/>
    <w:rsid w:val="00AE35E4"/>
    <w:rsid w:val="00B02D20"/>
    <w:rsid w:val="00B1090D"/>
    <w:rsid w:val="00B119FA"/>
    <w:rsid w:val="00B4443D"/>
    <w:rsid w:val="00B45D1D"/>
    <w:rsid w:val="00BD071D"/>
    <w:rsid w:val="00BE61DE"/>
    <w:rsid w:val="00C21609"/>
    <w:rsid w:val="00C50CCF"/>
    <w:rsid w:val="00C51F23"/>
    <w:rsid w:val="00C651C9"/>
    <w:rsid w:val="00C72FCB"/>
    <w:rsid w:val="00C74D75"/>
    <w:rsid w:val="00C77D53"/>
    <w:rsid w:val="00C87484"/>
    <w:rsid w:val="00C9445E"/>
    <w:rsid w:val="00C94952"/>
    <w:rsid w:val="00CA0799"/>
    <w:rsid w:val="00CB4A9F"/>
    <w:rsid w:val="00CF7FC5"/>
    <w:rsid w:val="00D0223B"/>
    <w:rsid w:val="00D02EB8"/>
    <w:rsid w:val="00D7632A"/>
    <w:rsid w:val="00D77327"/>
    <w:rsid w:val="00DA7B59"/>
    <w:rsid w:val="00DB03B6"/>
    <w:rsid w:val="00DE66B2"/>
    <w:rsid w:val="00DF037A"/>
    <w:rsid w:val="00DF206F"/>
    <w:rsid w:val="00DF6840"/>
    <w:rsid w:val="00E05CE4"/>
    <w:rsid w:val="00E5263A"/>
    <w:rsid w:val="00E80192"/>
    <w:rsid w:val="00EC77B3"/>
    <w:rsid w:val="00ED5449"/>
    <w:rsid w:val="00EE2A84"/>
    <w:rsid w:val="00EF468C"/>
    <w:rsid w:val="00EF7C9D"/>
    <w:rsid w:val="00F12EE9"/>
    <w:rsid w:val="00F146A4"/>
    <w:rsid w:val="00F14B37"/>
    <w:rsid w:val="00F31D46"/>
    <w:rsid w:val="00F45DD7"/>
    <w:rsid w:val="00F63300"/>
    <w:rsid w:val="00F644DF"/>
    <w:rsid w:val="00F65ABE"/>
    <w:rsid w:val="00F756A1"/>
    <w:rsid w:val="00F94433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723315A"/>
  <w15:docId w15:val="{4171B0EF-407E-4BED-9DE4-C69455CB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utanluft">
    <w:name w:val="Rubrik 1 utan luft"/>
    <w:basedOn w:val="Rubrik1"/>
    <w:autoRedefine/>
    <w:pPr>
      <w:spacing w:before="440" w:after="200"/>
      <w:ind w:left="2608"/>
      <w:outlineLvl w:val="9"/>
    </w:pPr>
    <w:rPr>
      <w:rFonts w:cs="Times New Roman"/>
      <w:b w:val="0"/>
      <w:bCs w:val="0"/>
      <w:kern w:val="28"/>
      <w:sz w:val="44"/>
      <w:szCs w:val="20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9072"/>
      </w:tabs>
      <w:spacing w:before="100" w:line="320" w:lineRule="exact"/>
      <w:ind w:left="2608"/>
    </w:pPr>
    <w:rPr>
      <w:rFonts w:ascii="Arial" w:hAnsi="Arial"/>
      <w:noProof/>
      <w:color w:val="000000"/>
      <w:sz w:val="28"/>
      <w:szCs w:val="20"/>
    </w:rPr>
  </w:style>
  <w:style w:type="character" w:styleId="Hyperlnk">
    <w:name w:val="Hyperlink"/>
    <w:rPr>
      <w:color w:val="0000FF"/>
      <w:u w:val="single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AC73E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C73ED"/>
    <w:rPr>
      <w:sz w:val="24"/>
      <w:szCs w:val="24"/>
    </w:rPr>
  </w:style>
  <w:style w:type="paragraph" w:styleId="Sidfot">
    <w:name w:val="footer"/>
    <w:basedOn w:val="Normal"/>
    <w:link w:val="SidfotChar"/>
    <w:rsid w:val="00AC73E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C73ED"/>
    <w:rPr>
      <w:sz w:val="24"/>
      <w:szCs w:val="24"/>
    </w:rPr>
  </w:style>
  <w:style w:type="paragraph" w:styleId="Ballongtext">
    <w:name w:val="Balloon Text"/>
    <w:basedOn w:val="Normal"/>
    <w:link w:val="BallongtextChar"/>
    <w:rsid w:val="00AC73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73E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6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.bangens@eef.se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emiss@boverket.se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5F6357DEA4A49A1F1E4C429FD8E65" ma:contentTypeVersion="10" ma:contentTypeDescription="Skapa ett nytt dokument." ma:contentTypeScope="" ma:versionID="a9ff558342a18fbcc6687e2912e2c8f5">
  <xsd:schema xmlns:xsd="http://www.w3.org/2001/XMLSchema" xmlns:xs="http://www.w3.org/2001/XMLSchema" xmlns:p="http://schemas.microsoft.com/office/2006/metadata/properties" xmlns:ns2="f0fb2d78-fbc3-4638-aee5-70b404c4a904" targetNamespace="http://schemas.microsoft.com/office/2006/metadata/properties" ma:root="true" ma:fieldsID="d6219c3db840d8156e70825344d056e2" ns2:_="">
    <xsd:import namespace="f0fb2d78-fbc3-4638-aee5-70b404c4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2d78-fbc3-4638-aee5-70b404c4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EDAAF-CEBE-F942-A57B-A90BD3F36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6C39-C615-4BF4-9D12-212BDD241BF4}"/>
</file>

<file path=customXml/itemProps3.xml><?xml version="1.0" encoding="utf-8"?>
<ds:datastoreItem xmlns:ds="http://schemas.openxmlformats.org/officeDocument/2006/customXml" ds:itemID="{675C67AD-C99E-49BD-BD34-93090DE42543}"/>
</file>

<file path=customXml/itemProps4.xml><?xml version="1.0" encoding="utf-8"?>
<ds:datastoreItem xmlns:ds="http://schemas.openxmlformats.org/officeDocument/2006/customXml" ds:itemID="{E383402D-4BAF-4795-86C9-8736623D55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626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Remiss, dnr: 243/2020</vt:lpstr>
    </vt:vector>
  </TitlesOfParts>
  <Company>Boverket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Remiss, dnr: 243/2020</dc:title>
  <dc:creator>Jonfjard, Stina</dc:creator>
  <cp:lastModifiedBy>Lotta Bångens</cp:lastModifiedBy>
  <cp:revision>117</cp:revision>
  <dcterms:created xsi:type="dcterms:W3CDTF">2020-04-07T14:01:00Z</dcterms:created>
  <dcterms:modified xsi:type="dcterms:W3CDTF">2020-04-08T09:49:00Z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0x010100AE25F6357DEA4A49A1F1E4C429FD8E65</vt:lpwstr>
  </property>
</Properties>
</file>